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170" w:rsidRDefault="00AF6170" w:rsidP="00AF6170">
      <w:pPr>
        <w:shd w:val="clear" w:color="auto" w:fill="FFFFFF"/>
        <w:spacing w:after="0" w:line="23" w:lineRule="atLeast"/>
        <w:rPr>
          <w:rFonts w:ascii="Arial" w:eastAsia="Times New Roman" w:hAnsi="Arial" w:cs="Arial"/>
          <w:b/>
          <w:bCs/>
          <w:color w:val="FF0000"/>
          <w:sz w:val="24"/>
          <w:szCs w:val="24"/>
        </w:rPr>
      </w:pPr>
      <w:r>
        <w:rPr>
          <w:rFonts w:ascii="Arial" w:eastAsia="Times New Roman" w:hAnsi="Arial" w:cs="Arial"/>
          <w:b/>
          <w:bCs/>
          <w:color w:val="FF0000"/>
          <w:sz w:val="24"/>
          <w:szCs w:val="24"/>
        </w:rPr>
        <w:t>DISCLAIMERS</w:t>
      </w:r>
    </w:p>
    <w:p w:rsidR="00AF6170" w:rsidRDefault="00AF6170" w:rsidP="00AF6170">
      <w:pPr>
        <w:spacing w:after="0" w:line="23" w:lineRule="atLeast"/>
        <w:rPr>
          <w:rFonts w:ascii="Arial" w:eastAsia="Times New Roman" w:hAnsi="Arial" w:cs="Arial"/>
          <w:sz w:val="24"/>
          <w:szCs w:val="24"/>
        </w:rPr>
      </w:pPr>
    </w:p>
    <w:p w:rsidR="00AF6170" w:rsidRDefault="00AF6170" w:rsidP="00AF6170">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DISCLAIMER OF WARRANTIES.</w:t>
      </w:r>
      <w:r>
        <w:rPr>
          <w:rFonts w:ascii="Arial" w:eastAsia="Times New Roman" w:hAnsi="Arial" w:cs="Arial"/>
          <w:color w:val="000000"/>
          <w:sz w:val="24"/>
          <w:szCs w:val="24"/>
        </w:rPr>
        <w:t xml:space="preserve"> You acknowledge and agree that this site is provided on an "as is" and "as available" basis. None of databank, its affiliates or their respective officers, directors, employees or agents (collectively, the "databank parties") guarantees the timeliness, accuracy, reliability, completeness, or usefulness of any of the site. None of the databank parties warrant that this site or downloads will meet your needs or expectations, or be uninterrupted, secure or error free or that this site, its server or any files available for downloading through this site are free of computer viruses or other harmful elements. The databank parties have no responsibility for viruses or any other damage that may be caused to you </w:t>
      </w:r>
      <w:proofErr w:type="gramStart"/>
      <w:r>
        <w:rPr>
          <w:rFonts w:ascii="Arial" w:eastAsia="Times New Roman" w:hAnsi="Arial" w:cs="Arial"/>
          <w:color w:val="000000"/>
          <w:sz w:val="24"/>
          <w:szCs w:val="24"/>
        </w:rPr>
        <w:t>as a result of</w:t>
      </w:r>
      <w:proofErr w:type="gramEnd"/>
      <w:r>
        <w:rPr>
          <w:rFonts w:ascii="Arial" w:eastAsia="Times New Roman" w:hAnsi="Arial" w:cs="Arial"/>
          <w:color w:val="000000"/>
          <w:sz w:val="24"/>
          <w:szCs w:val="24"/>
        </w:rPr>
        <w:t xml:space="preserve"> using this site. Periods of volatile or unusual market activity</w:t>
      </w:r>
      <w:proofErr w:type="gramStart"/>
      <w:r>
        <w:rPr>
          <w:rFonts w:ascii="Arial" w:eastAsia="Times New Roman" w:hAnsi="Arial" w:cs="Arial"/>
          <w:color w:val="000000"/>
          <w:sz w:val="24"/>
          <w:szCs w:val="24"/>
        </w:rPr>
        <w:t>, in particular, may</w:t>
      </w:r>
      <w:proofErr w:type="gramEnd"/>
      <w:r>
        <w:rPr>
          <w:rFonts w:ascii="Arial" w:eastAsia="Times New Roman" w:hAnsi="Arial" w:cs="Arial"/>
          <w:color w:val="000000"/>
          <w:sz w:val="24"/>
          <w:szCs w:val="24"/>
        </w:rPr>
        <w:t xml:space="preserve"> affect systems availability or response time.</w:t>
      </w:r>
    </w:p>
    <w:p w:rsidR="00AF6170" w:rsidRDefault="00AF6170" w:rsidP="00AF6170">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color w:val="000000"/>
          <w:sz w:val="24"/>
          <w:szCs w:val="24"/>
        </w:rPr>
        <w:t> </w:t>
      </w:r>
    </w:p>
    <w:p w:rsidR="00AF6170" w:rsidRDefault="00AF6170" w:rsidP="00AF6170">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You expressly agree that the entire risk as to the quality and performance of this site and the timeliness, usefulness, accuracy or completeness of the site is assumed solely by you. </w:t>
      </w:r>
      <w:proofErr w:type="gramStart"/>
      <w:r>
        <w:rPr>
          <w:rFonts w:ascii="Arial" w:eastAsia="Times New Roman" w:hAnsi="Arial" w:cs="Arial"/>
          <w:color w:val="000000"/>
          <w:sz w:val="24"/>
          <w:szCs w:val="24"/>
        </w:rPr>
        <w:t>All of</w:t>
      </w:r>
      <w:proofErr w:type="gramEnd"/>
      <w:r>
        <w:rPr>
          <w:rFonts w:ascii="Arial" w:eastAsia="Times New Roman" w:hAnsi="Arial" w:cs="Arial"/>
          <w:color w:val="000000"/>
          <w:sz w:val="24"/>
          <w:szCs w:val="24"/>
        </w:rPr>
        <w:t xml:space="preserve"> the databank parties hereby specifically disclaim any representations, endorsements, guarantees, or warranties, express or implied, regarding this site, including without limitation, the implied warranties of merchantability and fitness for a particular purpose and non-infringement of third-party rights. Without limiting the generality of the foregoing, </w:t>
      </w:r>
      <w:proofErr w:type="gramStart"/>
      <w:r>
        <w:rPr>
          <w:rFonts w:ascii="Arial" w:eastAsia="Times New Roman" w:hAnsi="Arial" w:cs="Arial"/>
          <w:color w:val="000000"/>
          <w:sz w:val="24"/>
          <w:szCs w:val="24"/>
        </w:rPr>
        <w:t>all of</w:t>
      </w:r>
      <w:proofErr w:type="gramEnd"/>
      <w:r>
        <w:rPr>
          <w:rFonts w:ascii="Arial" w:eastAsia="Times New Roman" w:hAnsi="Arial" w:cs="Arial"/>
          <w:color w:val="000000"/>
          <w:sz w:val="24"/>
          <w:szCs w:val="24"/>
        </w:rPr>
        <w:t xml:space="preserve"> the databank parties disclaim any warranties with respect to any results that may be obtained from the use of this site.</w:t>
      </w:r>
    </w:p>
    <w:p w:rsidR="00AF6170" w:rsidRDefault="00AF6170" w:rsidP="00AF6170">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color w:val="000000"/>
          <w:sz w:val="24"/>
          <w:szCs w:val="24"/>
        </w:rPr>
        <w:t> </w:t>
      </w:r>
    </w:p>
    <w:p w:rsidR="00AF6170" w:rsidRDefault="00AF6170" w:rsidP="00AF6170">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You are responsible for your connectivity. </w:t>
      </w:r>
      <w:r>
        <w:rPr>
          <w:rFonts w:ascii="Arial" w:eastAsia="Times New Roman" w:hAnsi="Arial" w:cs="Arial"/>
          <w:color w:val="000000"/>
          <w:sz w:val="24"/>
          <w:szCs w:val="24"/>
        </w:rPr>
        <w:t>You agree that you are responsible for the means you use to access the Site and understand that your hardware, software, the Internet, your Internet Service Provider, and other third parties involved in connecting you to our Site may not perform as intended or desired.</w:t>
      </w:r>
    </w:p>
    <w:p w:rsidR="00AF6170" w:rsidRDefault="00AF6170" w:rsidP="00AF6170">
      <w:pPr>
        <w:shd w:val="clear" w:color="auto" w:fill="FFFFFF"/>
        <w:spacing w:after="0" w:line="23" w:lineRule="atLeast"/>
        <w:rPr>
          <w:rFonts w:ascii="Arial" w:eastAsia="Times New Roman" w:hAnsi="Arial" w:cs="Arial"/>
          <w:color w:val="000000"/>
          <w:sz w:val="24"/>
          <w:szCs w:val="24"/>
        </w:rPr>
      </w:pPr>
    </w:p>
    <w:p w:rsidR="00AF6170" w:rsidRDefault="00AF6170" w:rsidP="00AF6170">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Not responsible for third party damages. </w:t>
      </w:r>
      <w:r>
        <w:rPr>
          <w:rFonts w:ascii="Arial" w:eastAsia="Times New Roman" w:hAnsi="Arial" w:cs="Arial"/>
          <w:color w:val="000000"/>
          <w:sz w:val="24"/>
          <w:szCs w:val="24"/>
        </w:rPr>
        <w:t xml:space="preserve">Databank also disclaims responsibility for damages third parties may cause to you </w:t>
      </w:r>
      <w:proofErr w:type="gramStart"/>
      <w:r>
        <w:rPr>
          <w:rFonts w:ascii="Arial" w:eastAsia="Times New Roman" w:hAnsi="Arial" w:cs="Arial"/>
          <w:color w:val="000000"/>
          <w:sz w:val="24"/>
          <w:szCs w:val="24"/>
        </w:rPr>
        <w:t>through the use of</w:t>
      </w:r>
      <w:proofErr w:type="gramEnd"/>
      <w:r>
        <w:rPr>
          <w:rFonts w:ascii="Arial" w:eastAsia="Times New Roman" w:hAnsi="Arial" w:cs="Arial"/>
          <w:color w:val="000000"/>
          <w:sz w:val="24"/>
          <w:szCs w:val="24"/>
        </w:rPr>
        <w:t xml:space="preserve"> this Site, whether intentional or unintentional. For example, you understand that hackers could breach our security procedures and that Databank will not be responsible for any related damages.</w:t>
      </w:r>
    </w:p>
    <w:p w:rsidR="00AF6170" w:rsidRDefault="00AF6170" w:rsidP="00AF6170">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 </w:t>
      </w:r>
    </w:p>
    <w:p w:rsidR="00AF6170" w:rsidRDefault="00AF6170" w:rsidP="00AF6170">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No reliance on Data. </w:t>
      </w:r>
      <w:r>
        <w:rPr>
          <w:rFonts w:ascii="Arial" w:eastAsia="Times New Roman" w:hAnsi="Arial" w:cs="Arial"/>
          <w:color w:val="000000"/>
          <w:sz w:val="24"/>
          <w:szCs w:val="24"/>
        </w:rPr>
        <w:t>Reasonable precautions have been taken to ensure that Site Content is complete and accurate. However, due to the nature of information delivery technology and the necessity of using multiple data sources, including Third Party Content, we are unable to assure the accuracy of the data you access through this Site. Site Content is presented only as of the date published or indicated and may be superseded by subsequent market events or other reasons. Databank has no duty to update this Site or any Site Content. We shall not be liable to you or any third party for any damages arising from any actions or investment decisions taken by you based on the accuracy of the data presented through this site.</w:t>
      </w:r>
    </w:p>
    <w:p w:rsidR="00AF6170" w:rsidRDefault="00AF6170" w:rsidP="00AF6170">
      <w:pPr>
        <w:shd w:val="clear" w:color="auto" w:fill="FFFFFF"/>
        <w:spacing w:after="0" w:line="23" w:lineRule="atLeast"/>
        <w:rPr>
          <w:rFonts w:ascii="Arial" w:eastAsia="Times New Roman" w:hAnsi="Arial" w:cs="Arial"/>
          <w:color w:val="000000"/>
          <w:sz w:val="24"/>
          <w:szCs w:val="24"/>
        </w:rPr>
      </w:pPr>
    </w:p>
    <w:p w:rsidR="00AF6170" w:rsidRDefault="00AF6170" w:rsidP="00AF6170">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Cautions about future or "forward-looking" statements.</w:t>
      </w:r>
      <w:r>
        <w:rPr>
          <w:rFonts w:ascii="Arial" w:eastAsia="Times New Roman" w:hAnsi="Arial" w:cs="Arial"/>
          <w:color w:val="000000"/>
          <w:sz w:val="24"/>
          <w:szCs w:val="24"/>
        </w:rPr>
        <w:t xml:space="preserve"> Speculation or stated beliefs about future events, such as market and economic conditions, company or security performance, upcoming product offerings or other projections are "forward-looking statements". These forward-looking statements represent the beliefs of the </w:t>
      </w:r>
      <w:r>
        <w:rPr>
          <w:rFonts w:ascii="Arial" w:eastAsia="Times New Roman" w:hAnsi="Arial" w:cs="Arial"/>
          <w:color w:val="000000"/>
          <w:sz w:val="24"/>
          <w:szCs w:val="24"/>
        </w:rPr>
        <w:lastRenderedPageBreak/>
        <w:t>speaker/author and do not necessarily represent the views of Databank or any of its subsidiaries. General business, market, economic and political conditions could cause actual results to differ materially from what the speaker/author presently anticipates or projects.</w:t>
      </w:r>
    </w:p>
    <w:p w:rsidR="00AF6170" w:rsidRDefault="00AF6170" w:rsidP="00AF6170">
      <w:pPr>
        <w:spacing w:after="0" w:line="23" w:lineRule="atLeast"/>
        <w:rPr>
          <w:rFonts w:ascii="Arial" w:eastAsia="Times New Roman" w:hAnsi="Arial" w:cs="Arial"/>
          <w:color w:val="000000"/>
          <w:sz w:val="24"/>
          <w:szCs w:val="24"/>
        </w:rPr>
      </w:pPr>
      <w:r>
        <w:rPr>
          <w:rFonts w:ascii="Arial" w:eastAsia="Times New Roman" w:hAnsi="Arial" w:cs="Arial"/>
          <w:color w:val="000000"/>
          <w:sz w:val="24"/>
          <w:szCs w:val="24"/>
        </w:rPr>
        <w:t> </w:t>
      </w: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b/>
          <w:bCs/>
          <w:color w:val="222222"/>
          <w:sz w:val="24"/>
          <w:szCs w:val="24"/>
        </w:rPr>
      </w:pP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rPr>
        <w:t>TERMS AND CONDITIONS FOR DATABANK ONLINE SERVICES</w:t>
      </w: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rPr>
        <w:t>Registration</w:t>
      </w:r>
    </w:p>
    <w:p w:rsidR="00AF6170" w:rsidRDefault="00AF6170" w:rsidP="00AF6170">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Personal and account details provided should be accurate and valid. Accounts created are subject to vetting by Databank staff and can be revoked if found to be fictitious. Names, emails and phone numbers provided should match with our records.</w:t>
      </w:r>
    </w:p>
    <w:p w:rsidR="00AF6170" w:rsidRDefault="00AF6170" w:rsidP="00AF6170">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By registering for the Online top-up service, you will be able to make deposits into any Databank mutual fund, even if you have not previously done so. However, you will not be considered a shareholder of any Fund until you have read and agreed to the terms and conditions of the Fund and proceeded to make a deposit into it.</w:t>
      </w:r>
    </w:p>
    <w:p w:rsidR="00AF6170" w:rsidRDefault="00AF6170" w:rsidP="00AF6170">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Databank will not be responsible for any loss or delay occasioned by any error on the part of the client in the process of inputting his/her personal or contact details.</w:t>
      </w: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rPr>
        <w:t>Top up</w:t>
      </w:r>
    </w:p>
    <w:p w:rsidR="00AF6170" w:rsidRDefault="00AF6170" w:rsidP="00AF6170">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A service fee of 2.00% will be charged on the value of all transactions made. This service fee will attract a Value Added Tax (VAT) of 17.50%.</w:t>
      </w:r>
    </w:p>
    <w:p w:rsidR="00AF6170" w:rsidRDefault="00AF6170" w:rsidP="00AF6170">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Databank will not be responsible for any loss or delay occasioned by any error on the part of the client in the process of inputting his/her investment instructions.</w:t>
      </w:r>
    </w:p>
    <w:p w:rsidR="00AF6170" w:rsidRDefault="00AF6170" w:rsidP="00AF6170">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All top ups will be deemed successful SUBJECT to validation of the card used via the corresponding bank. Should a card be successfully validated and thereby authorized, the deposit may take up to three (3) working days to reflect in client's Databank mutual fund account. Clients whose transactions are not successfully validated will receive an email from Databank advising them to contact their card issuers for transaction authentication.</w:t>
      </w:r>
    </w:p>
    <w:p w:rsidR="00AF6170" w:rsidRDefault="00AF6170" w:rsidP="00AF6170">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Should a transaction be successful and then subsequently is determined to be fraudulent, Databank will immediately place a lien on the client's account until the transaction is successfully validated or otherwise.</w:t>
      </w: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rPr>
        <w:t>Redemptions (withdrawals)</w:t>
      </w:r>
    </w:p>
    <w:p w:rsidR="00AF6170" w:rsidRDefault="00AF6170" w:rsidP="00AF6170">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Withdrawal requests cannot be made via this medium. Clients are required to visit a Databank branch or partner location within GT </w:t>
      </w:r>
      <w:proofErr w:type="gramStart"/>
      <w:r>
        <w:rPr>
          <w:rFonts w:ascii="Arial" w:eastAsia="Times New Roman" w:hAnsi="Arial" w:cs="Arial"/>
          <w:color w:val="222222"/>
          <w:sz w:val="24"/>
          <w:szCs w:val="24"/>
        </w:rPr>
        <w:t>Bank, or</w:t>
      </w:r>
      <w:proofErr w:type="gramEnd"/>
      <w:r>
        <w:rPr>
          <w:rFonts w:ascii="Arial" w:eastAsia="Times New Roman" w:hAnsi="Arial" w:cs="Arial"/>
          <w:color w:val="222222"/>
          <w:sz w:val="24"/>
          <w:szCs w:val="24"/>
        </w:rPr>
        <w:t xml:space="preserve"> contact the Call Centre on (+ 233) 0302 610610 extensions 1510-5.</w:t>
      </w:r>
    </w:p>
    <w:p w:rsidR="00AF6170" w:rsidRDefault="00AF6170" w:rsidP="00AF6170">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Withdrawal of deposits made via the online service channel can only be made 120 days AFTER the transaction date. This is to allow VISA or MasterCard to verify or authenticate the transaction. Withdrawals can still be made on deposits done using other channels.</w:t>
      </w: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rPr>
        <w:t>TERMS AND CONDITIONS FOR DATABANK MUTUAL FUNDS</w:t>
      </w: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rPr>
        <w:t xml:space="preserve">Databank </w:t>
      </w:r>
      <w:proofErr w:type="spellStart"/>
      <w:r>
        <w:rPr>
          <w:rFonts w:ascii="Arial" w:eastAsia="Times New Roman" w:hAnsi="Arial" w:cs="Arial"/>
          <w:b/>
          <w:bCs/>
          <w:color w:val="222222"/>
          <w:sz w:val="24"/>
          <w:szCs w:val="24"/>
        </w:rPr>
        <w:t>Epack</w:t>
      </w:r>
      <w:proofErr w:type="spellEnd"/>
      <w:r>
        <w:rPr>
          <w:rFonts w:ascii="Arial" w:eastAsia="Times New Roman" w:hAnsi="Arial" w:cs="Arial"/>
          <w:b/>
          <w:bCs/>
          <w:color w:val="222222"/>
          <w:sz w:val="24"/>
          <w:szCs w:val="24"/>
        </w:rPr>
        <w:t xml:space="preserve"> Investment Fund (</w:t>
      </w:r>
      <w:proofErr w:type="spellStart"/>
      <w:r>
        <w:rPr>
          <w:rFonts w:ascii="Arial" w:eastAsia="Times New Roman" w:hAnsi="Arial" w:cs="Arial"/>
          <w:b/>
          <w:bCs/>
          <w:color w:val="222222"/>
          <w:sz w:val="24"/>
          <w:szCs w:val="24"/>
        </w:rPr>
        <w:t>Epack</w:t>
      </w:r>
      <w:proofErr w:type="spellEnd"/>
      <w:r>
        <w:rPr>
          <w:rFonts w:ascii="Arial" w:eastAsia="Times New Roman" w:hAnsi="Arial" w:cs="Arial"/>
          <w:b/>
          <w:bCs/>
          <w:color w:val="222222"/>
          <w:sz w:val="24"/>
          <w:szCs w:val="24"/>
        </w:rPr>
        <w:t>)</w:t>
      </w:r>
      <w:r>
        <w:rPr>
          <w:rFonts w:ascii="Arial" w:eastAsia="Times New Roman" w:hAnsi="Arial" w:cs="Arial"/>
          <w:color w:val="222222"/>
          <w:sz w:val="24"/>
          <w:szCs w:val="24"/>
        </w:rPr>
        <w:t xml:space="preserve"> seeks to accumulate capital for its investors by investing in stocks listed on regulated stock markets. The recommended minimum holding period for each investment in the fund is three years. Withdrawals on deposits made within the first three years will attract an exit load (fee) ranging from 1% to 3%. Returns on </w:t>
      </w:r>
      <w:proofErr w:type="spellStart"/>
      <w:r>
        <w:rPr>
          <w:rFonts w:ascii="Arial" w:eastAsia="Times New Roman" w:hAnsi="Arial" w:cs="Arial"/>
          <w:color w:val="222222"/>
          <w:sz w:val="24"/>
          <w:szCs w:val="24"/>
        </w:rPr>
        <w:t>Epack</w:t>
      </w:r>
      <w:proofErr w:type="spellEnd"/>
      <w:r>
        <w:rPr>
          <w:rFonts w:ascii="Arial" w:eastAsia="Times New Roman" w:hAnsi="Arial" w:cs="Arial"/>
          <w:color w:val="222222"/>
          <w:sz w:val="24"/>
          <w:szCs w:val="24"/>
        </w:rPr>
        <w:t xml:space="preserve"> are in the form of capital gains or losses. Clients receive proceeds of their disinvestment after five (5) working days' notice.</w:t>
      </w: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rPr>
        <w:t>Databank Money Market Fund (MFUND)</w:t>
      </w:r>
      <w:r>
        <w:rPr>
          <w:rFonts w:ascii="Arial" w:eastAsia="Times New Roman" w:hAnsi="Arial" w:cs="Arial"/>
          <w:color w:val="222222"/>
          <w:sz w:val="24"/>
          <w:szCs w:val="24"/>
        </w:rPr>
        <w:t xml:space="preserve"> seeks to provide high current income consistent with the maintenance of liquidity and preservation of capital. </w:t>
      </w:r>
      <w:proofErr w:type="spellStart"/>
      <w:r>
        <w:rPr>
          <w:rFonts w:ascii="Arial" w:eastAsia="Times New Roman" w:hAnsi="Arial" w:cs="Arial"/>
          <w:color w:val="222222"/>
          <w:sz w:val="24"/>
          <w:szCs w:val="24"/>
        </w:rPr>
        <w:t>MFund</w:t>
      </w:r>
      <w:proofErr w:type="spellEnd"/>
      <w:r>
        <w:rPr>
          <w:rFonts w:ascii="Arial" w:eastAsia="Times New Roman" w:hAnsi="Arial" w:cs="Arial"/>
          <w:color w:val="222222"/>
          <w:sz w:val="24"/>
          <w:szCs w:val="24"/>
        </w:rPr>
        <w:t xml:space="preserve"> invests in high quality, short-term debt instruments and attracts a front-load fee of 1%. Returns on </w:t>
      </w:r>
      <w:proofErr w:type="spellStart"/>
      <w:r>
        <w:rPr>
          <w:rFonts w:ascii="Arial" w:eastAsia="Times New Roman" w:hAnsi="Arial" w:cs="Arial"/>
          <w:color w:val="222222"/>
          <w:sz w:val="24"/>
          <w:szCs w:val="24"/>
        </w:rPr>
        <w:t>MFund</w:t>
      </w:r>
      <w:proofErr w:type="spellEnd"/>
      <w:r>
        <w:rPr>
          <w:rFonts w:ascii="Arial" w:eastAsia="Times New Roman" w:hAnsi="Arial" w:cs="Arial"/>
          <w:color w:val="222222"/>
          <w:sz w:val="24"/>
          <w:szCs w:val="24"/>
        </w:rPr>
        <w:t xml:space="preserve"> are in the form of interest. Clients receive proceeds of their disinvestment after one (1) working day.</w:t>
      </w: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rPr>
        <w:t>Databank Balanced Fund (</w:t>
      </w:r>
      <w:proofErr w:type="spellStart"/>
      <w:r>
        <w:rPr>
          <w:rFonts w:ascii="Arial" w:eastAsia="Times New Roman" w:hAnsi="Arial" w:cs="Arial"/>
          <w:b/>
          <w:bCs/>
          <w:color w:val="222222"/>
          <w:sz w:val="24"/>
          <w:szCs w:val="24"/>
        </w:rPr>
        <w:t>BFund</w:t>
      </w:r>
      <w:proofErr w:type="spellEnd"/>
      <w:r>
        <w:rPr>
          <w:rFonts w:ascii="Arial" w:eastAsia="Times New Roman" w:hAnsi="Arial" w:cs="Arial"/>
          <w:b/>
          <w:bCs/>
          <w:color w:val="222222"/>
          <w:sz w:val="24"/>
          <w:szCs w:val="24"/>
        </w:rPr>
        <w:t>)</w:t>
      </w:r>
      <w:r>
        <w:rPr>
          <w:rFonts w:ascii="Arial" w:eastAsia="Times New Roman" w:hAnsi="Arial" w:cs="Arial"/>
          <w:color w:val="222222"/>
          <w:sz w:val="24"/>
          <w:szCs w:val="24"/>
        </w:rPr>
        <w:t xml:space="preserve"> seeks to provide growth of capital and current income. The Fund invests in high-quality fixed-income instruments and stocks listed on regulated stock markets. The Fund charges a front-load fee of 1%. Returns on </w:t>
      </w:r>
      <w:proofErr w:type="spellStart"/>
      <w:r>
        <w:rPr>
          <w:rFonts w:ascii="Arial" w:eastAsia="Times New Roman" w:hAnsi="Arial" w:cs="Arial"/>
          <w:color w:val="222222"/>
          <w:sz w:val="24"/>
          <w:szCs w:val="24"/>
        </w:rPr>
        <w:t>BFund</w:t>
      </w:r>
      <w:proofErr w:type="spellEnd"/>
      <w:r>
        <w:rPr>
          <w:rFonts w:ascii="Arial" w:eastAsia="Times New Roman" w:hAnsi="Arial" w:cs="Arial"/>
          <w:color w:val="222222"/>
          <w:sz w:val="24"/>
          <w:szCs w:val="24"/>
        </w:rPr>
        <w:t xml:space="preserve"> are in the form of interest and capital gains/losses. Clients receive proceeds of their disinvestment after five (5) working days.</w:t>
      </w:r>
    </w:p>
    <w:p w:rsidR="00AF6170" w:rsidRDefault="00AF6170" w:rsidP="00AF6170">
      <w:pPr>
        <w:spacing w:after="0" w:line="240" w:lineRule="auto"/>
        <w:rPr>
          <w:rFonts w:ascii="Arial" w:eastAsia="Times New Roman" w:hAnsi="Arial" w:cs="Arial"/>
          <w:sz w:val="24"/>
          <w:szCs w:val="24"/>
        </w:rPr>
      </w:pPr>
      <w:r>
        <w:rPr>
          <w:rFonts w:ascii="Arial" w:eastAsia="Times New Roman" w:hAnsi="Arial" w:cs="Arial"/>
          <w:b/>
          <w:bCs/>
          <w:color w:val="222222"/>
          <w:sz w:val="24"/>
          <w:szCs w:val="24"/>
          <w:shd w:val="clear" w:color="auto" w:fill="FFFFFF"/>
        </w:rPr>
        <w:t>Databank Ark Fund (</w:t>
      </w:r>
      <w:proofErr w:type="spellStart"/>
      <w:r>
        <w:rPr>
          <w:rFonts w:ascii="Arial" w:eastAsia="Times New Roman" w:hAnsi="Arial" w:cs="Arial"/>
          <w:b/>
          <w:bCs/>
          <w:color w:val="222222"/>
          <w:sz w:val="24"/>
          <w:szCs w:val="24"/>
          <w:shd w:val="clear" w:color="auto" w:fill="FFFFFF"/>
        </w:rPr>
        <w:t>ArkFund</w:t>
      </w:r>
      <w:proofErr w:type="spellEnd"/>
      <w:r>
        <w:rPr>
          <w:rFonts w:ascii="Arial" w:eastAsia="Times New Roman" w:hAnsi="Arial" w:cs="Arial"/>
          <w:b/>
          <w:bCs/>
          <w:color w:val="222222"/>
          <w:sz w:val="24"/>
          <w:szCs w:val="24"/>
          <w:shd w:val="clear" w:color="auto" w:fill="FFFFFF"/>
        </w:rPr>
        <w:t>)</w:t>
      </w:r>
      <w:r>
        <w:rPr>
          <w:rFonts w:ascii="Arial" w:eastAsia="Times New Roman" w:hAnsi="Arial" w:cs="Arial"/>
          <w:color w:val="222222"/>
          <w:sz w:val="24"/>
          <w:szCs w:val="24"/>
          <w:shd w:val="clear" w:color="auto" w:fill="FFFFFF"/>
        </w:rPr>
        <w:t> seeks to achieve capital growth and income by investing in a diversified portfolio of shares, fixed-income securities and private equity. The Fund attracts a front-load fee of 1%. Returns on the Fund are in the form of interest and capital gains/losses. Clients receive proceeds of their disinvestment after five (5) working days.</w:t>
      </w: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rPr>
        <w:t>Databank Educational Investment Fund (</w:t>
      </w:r>
      <w:proofErr w:type="spellStart"/>
      <w:r>
        <w:rPr>
          <w:rFonts w:ascii="Arial" w:eastAsia="Times New Roman" w:hAnsi="Arial" w:cs="Arial"/>
          <w:b/>
          <w:bCs/>
          <w:color w:val="222222"/>
          <w:sz w:val="24"/>
          <w:szCs w:val="24"/>
        </w:rPr>
        <w:t>EdIFund</w:t>
      </w:r>
      <w:proofErr w:type="spellEnd"/>
      <w:r>
        <w:rPr>
          <w:rFonts w:ascii="Arial" w:eastAsia="Times New Roman" w:hAnsi="Arial" w:cs="Arial"/>
          <w:b/>
          <w:bCs/>
          <w:color w:val="222222"/>
          <w:sz w:val="24"/>
          <w:szCs w:val="24"/>
        </w:rPr>
        <w:t>)</w:t>
      </w:r>
      <w:r>
        <w:rPr>
          <w:rFonts w:ascii="Arial" w:eastAsia="Times New Roman" w:hAnsi="Arial" w:cs="Arial"/>
          <w:color w:val="222222"/>
          <w:sz w:val="24"/>
          <w:szCs w:val="24"/>
        </w:rPr>
        <w:t> seeks to help people invest toward their educational needs by investing in fixed-income securities and equities in Ghana and across Africa using a two-tier structure. Tier 1 is for investors with short-term educational needs and has a recommended minimum holding period of 3 months. Tier 2, which has a recommended minimum holding period of 5 years, is designed for investors with longer-term educational needs, and offers an embedded life and total permanent disability insurance cover that will match funds held in Tier 2 to a maximum of GHC 20,000. The Fund agrees to adhere to the claims procedures set out in the insurance policy and will make claims due on behalf of clients. The Fund charges a front-load fee of 0.75% for Tier 1, and an exit load (fee) ranging from 1% to 5% for Tier 2.</w:t>
      </w:r>
    </w:p>
    <w:p w:rsid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lastRenderedPageBreak/>
        <w:t>Clients receive proceeds of their disinvestment after 1 working day for Tier 1, and 5 working days for Tier 2. The value of all Databank mutual funds may rise and fall. Past performance does not guarantee future returns. Gains/losses are realized only upon disinvestment.</w:t>
      </w:r>
    </w:p>
    <w:p w:rsidR="00BB4482" w:rsidRPr="00AF6170" w:rsidRDefault="00AF6170" w:rsidP="00AF6170">
      <w:pPr>
        <w:shd w:val="clear" w:color="auto" w:fill="FFFFFF"/>
        <w:spacing w:before="100" w:beforeAutospacing="1" w:after="100" w:afterAutospacing="1" w:line="240" w:lineRule="auto"/>
        <w:jc w:val="both"/>
        <w:rPr>
          <w:rFonts w:ascii="Arial" w:eastAsia="Times New Roman" w:hAnsi="Arial" w:cs="Arial"/>
          <w:color w:val="222222"/>
          <w:sz w:val="24"/>
          <w:szCs w:val="24"/>
        </w:rPr>
      </w:pPr>
      <w:r>
        <w:rPr>
          <w:rFonts w:ascii="Arial" w:eastAsia="Times New Roman" w:hAnsi="Arial" w:cs="Arial"/>
          <w:b/>
          <w:bCs/>
          <w:i/>
          <w:iCs/>
          <w:color w:val="222222"/>
          <w:sz w:val="24"/>
          <w:szCs w:val="24"/>
        </w:rPr>
        <w:t>Please read the Scheme Particulars of the appropriate fund(s) before investing.</w:t>
      </w:r>
      <w:r>
        <w:rPr>
          <w:rFonts w:ascii="Arial" w:eastAsia="Times New Roman" w:hAnsi="Arial" w:cs="Arial"/>
          <w:color w:val="222222"/>
          <w:sz w:val="24"/>
          <w:szCs w:val="24"/>
        </w:rPr>
        <w:t> They are available at www.databankgroup.com.</w:t>
      </w:r>
      <w:bookmarkStart w:id="0" w:name="_GoBack"/>
      <w:bookmarkEnd w:id="0"/>
    </w:p>
    <w:sectPr w:rsidR="00BB4482" w:rsidRPr="00AF6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05BC1"/>
    <w:multiLevelType w:val="multilevel"/>
    <w:tmpl w:val="996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1332F"/>
    <w:multiLevelType w:val="multilevel"/>
    <w:tmpl w:val="B7CA5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67FF7"/>
    <w:multiLevelType w:val="multilevel"/>
    <w:tmpl w:val="E9761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70"/>
    <w:rsid w:val="00AF6170"/>
    <w:rsid w:val="00BB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E75B"/>
  <w15:chartTrackingRefBased/>
  <w15:docId w15:val="{96B07613-20FF-4370-98C4-811932BA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1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04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Cofie</dc:creator>
  <cp:keywords/>
  <dc:description/>
  <cp:lastModifiedBy>Dela Cofie</cp:lastModifiedBy>
  <cp:revision>1</cp:revision>
  <dcterms:created xsi:type="dcterms:W3CDTF">2018-08-23T14:30:00Z</dcterms:created>
  <dcterms:modified xsi:type="dcterms:W3CDTF">2018-08-23T14:30:00Z</dcterms:modified>
</cp:coreProperties>
</file>